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15" w:rsidRPr="00077622" w:rsidRDefault="00605715" w:rsidP="00605715">
      <w:pPr>
        <w:spacing w:after="280" w:afterAutospacing="1"/>
        <w:rPr>
          <w:sz w:val="48"/>
          <w:szCs w:val="48"/>
        </w:rPr>
      </w:pPr>
      <w:r w:rsidRPr="00077622">
        <w:rPr>
          <w:b/>
          <w:bCs/>
          <w:sz w:val="48"/>
          <w:szCs w:val="48"/>
        </w:rPr>
        <w:t>Как нельзя выдавать деньги работникам под отчет</w:t>
      </w:r>
    </w:p>
    <w:p w:rsidR="00605715" w:rsidRDefault="00605715" w:rsidP="00605715">
      <w:pPr>
        <w:spacing w:after="280" w:afterAutospacing="1"/>
      </w:pPr>
      <w:r>
        <w:t xml:space="preserve">В интернете много слухов о том, как правильно выдавать средства под отчет. Коллеги иногда путаются в таких операциях. УНП расскажет правду о том, как, кто, когда и зачем может получить деньги под отчет. </w:t>
      </w:r>
    </w:p>
    <w:p w:rsidR="00605715" w:rsidRDefault="00605715" w:rsidP="00605715">
      <w:pPr>
        <w:pStyle w:val="2"/>
        <w:spacing w:after="280"/>
      </w:pPr>
      <w:r>
        <w:t>Миф № 1. Подотчетным может быть только сотрудник</w:t>
      </w:r>
    </w:p>
    <w:p w:rsidR="00605715" w:rsidRDefault="00605715" w:rsidP="00605715">
      <w:pPr>
        <w:spacing w:after="280" w:afterAutospacing="1"/>
      </w:pPr>
      <w:r>
        <w:t>В правилах о подотчетных прописали, что средства выдают работникам. Но к работнику ЦБ приравнял «физика», с которым компания заключила гражданско-правовой договор (</w:t>
      </w:r>
      <w:r>
        <w:rPr>
          <w:rStyle w:val="Spanlink"/>
          <w:u w:val="single"/>
        </w:rPr>
        <w:t>п. 5 Указания ЦБ от 11.03.2014 № 3210-У</w:t>
      </w:r>
      <w:r>
        <w:t>). Поэтому контракт с </w:t>
      </w:r>
      <w:proofErr w:type="spellStart"/>
      <w:r>
        <w:t>подотчетником</w:t>
      </w:r>
      <w:proofErr w:type="spellEnd"/>
      <w:r>
        <w:t xml:space="preserve"> необязательно должен быть трудовым (</w:t>
      </w:r>
      <w:r>
        <w:rPr>
          <w:rStyle w:val="Spanlink"/>
          <w:u w:val="single"/>
        </w:rPr>
        <w:t>письмо ЦБ от 02.10.2014 № 29-Р-Р-6/7859</w:t>
      </w:r>
      <w:r>
        <w:t>). Главное, чтобы его составили по правилам ГК (</w:t>
      </w:r>
      <w:r>
        <w:rPr>
          <w:rStyle w:val="Spanlink"/>
          <w:u w:val="single"/>
        </w:rPr>
        <w:t>п. 1 ст. 420 ГК</w:t>
      </w:r>
      <w:r>
        <w:t xml:space="preserve">). </w:t>
      </w:r>
      <w:proofErr w:type="spellStart"/>
      <w:r>
        <w:t>Подотчетником</w:t>
      </w:r>
      <w:proofErr w:type="spellEnd"/>
      <w:r>
        <w:t xml:space="preserve"> может стать сотрудник, подрядчик и любой «физик», с которым компания заключила договор. </w:t>
      </w:r>
    </w:p>
    <w:p w:rsidR="00605715" w:rsidRDefault="00605715" w:rsidP="00605715">
      <w:pPr>
        <w:pStyle w:val="2"/>
        <w:spacing w:after="280"/>
      </w:pPr>
      <w:r>
        <w:t>Миф № 2. Надо издавать приказ о </w:t>
      </w:r>
      <w:proofErr w:type="spellStart"/>
      <w:r>
        <w:t>подотчетниках</w:t>
      </w:r>
      <w:proofErr w:type="spellEnd"/>
    </w:p>
    <w:p w:rsidR="00605715" w:rsidRDefault="00605715" w:rsidP="00605715">
      <w:pPr>
        <w:spacing w:after="280" w:afterAutospacing="1"/>
      </w:pPr>
      <w:r>
        <w:t>Организации необязательно утверждать список «физиков», которым можно выдавать деньги. Достаточно приказа руководителя при самой выдаче суммы (</w:t>
      </w:r>
      <w:r>
        <w:rPr>
          <w:rStyle w:val="Spanlink"/>
          <w:u w:val="single"/>
        </w:rPr>
        <w:t>п. 6.3 Указания № 3210-У</w:t>
      </w:r>
      <w:r>
        <w:t>). В документе компания пропишет Ф. И. О. работника, сумму, способ выдачи средств и срок, на который их передали. Приказ не заменить заявлением на подотчетные, даже если на нем проставил визу директор. Чтобы выдать деньги, бухгалтеру нужен распорядительный документ (</w:t>
      </w:r>
      <w:r>
        <w:rPr>
          <w:rStyle w:val="Spanlink"/>
          <w:u w:val="single"/>
        </w:rPr>
        <w:t xml:space="preserve">письмо ЦБ от 06.09.2017 </w:t>
      </w:r>
      <w:bookmarkStart w:id="0" w:name="_GoBack"/>
      <w:bookmarkEnd w:id="0"/>
      <w:r>
        <w:rPr>
          <w:rStyle w:val="Spanlink"/>
          <w:u w:val="single"/>
        </w:rPr>
        <w:t>№ 29-1-1-ОЭ/20642</w:t>
      </w:r>
      <w:r>
        <w:t xml:space="preserve">). </w:t>
      </w:r>
    </w:p>
    <w:p w:rsidR="00605715" w:rsidRDefault="00605715" w:rsidP="00605715">
      <w:pPr>
        <w:pStyle w:val="2"/>
        <w:spacing w:after="280"/>
      </w:pPr>
      <w:r>
        <w:t xml:space="preserve">Миф № 3. Нельзя выдавать большие суммы </w:t>
      </w:r>
    </w:p>
    <w:p w:rsidR="00605715" w:rsidRDefault="00605715" w:rsidP="00605715">
      <w:pPr>
        <w:spacing w:after="280" w:afterAutospacing="1"/>
      </w:pPr>
      <w:r>
        <w:t>Лимита средств, которые компания вправе выдать под отчет, нет. Ограничение расчетов в 100 тыс. руб. не действует на операции с подотчетными деньгами (</w:t>
      </w:r>
      <w:r>
        <w:rPr>
          <w:rStyle w:val="Spanlink"/>
          <w:u w:val="single"/>
        </w:rPr>
        <w:t>п. 6 Указания ЦБ от 07.10.2013 № 3073-У</w:t>
      </w:r>
      <w:r>
        <w:t>). Но стоит предупредить «физиков», которым компания перечислила средства на корпоративную карту, о лимите для наличных. Работникам безопаснее снимать не более 100 тыс. руб. в день. Такой лимит ЦБ рекомендовал установить банкам (</w:t>
      </w:r>
      <w:proofErr w:type="spellStart"/>
      <w:r>
        <w:rPr>
          <w:rStyle w:val="Spanlink"/>
          <w:u w:val="single"/>
        </w:rPr>
        <w:t>абз</w:t>
      </w:r>
      <w:proofErr w:type="spellEnd"/>
      <w:r>
        <w:rPr>
          <w:rStyle w:val="Spanlink"/>
          <w:u w:val="single"/>
        </w:rPr>
        <w:t>. 9 п. 2.5</w:t>
      </w:r>
      <w:r>
        <w:t xml:space="preserve"> Положения, утв. </w:t>
      </w:r>
      <w:r>
        <w:rPr>
          <w:rStyle w:val="Spanlink"/>
          <w:u w:val="single"/>
        </w:rPr>
        <w:t>24.12.2004 № 266-П</w:t>
      </w:r>
      <w:r>
        <w:t>). Если снимать много, банк может отказаться проводить операции (</w:t>
      </w:r>
      <w:r>
        <w:rPr>
          <w:rStyle w:val="Spanlink"/>
          <w:u w:val="single"/>
        </w:rPr>
        <w:t>п. 11 ст. 7 Федерального закона от 07.08.2001 № 115-ФЗ</w:t>
      </w:r>
      <w:r>
        <w:t xml:space="preserve">). </w:t>
      </w:r>
    </w:p>
    <w:p w:rsidR="00605715" w:rsidRDefault="00605715" w:rsidP="00605715">
      <w:pPr>
        <w:pStyle w:val="2"/>
        <w:spacing w:after="280"/>
      </w:pPr>
      <w:r>
        <w:t>Миф № 4. Средства можно выдавать на определенный срок</w:t>
      </w:r>
    </w:p>
    <w:p w:rsidR="00605715" w:rsidRDefault="00605715" w:rsidP="00605715">
      <w:pPr>
        <w:spacing w:after="280" w:afterAutospacing="1"/>
      </w:pPr>
      <w:r>
        <w:t>Правила о подотчетных суммах не предусматривают максимальный период, на который компания может выдавать деньги. Надо соблюдать срок, который прописали в приказе о выдаче средств. После того как срок истечет, надо в течение трех рабочих дней представить авансовый отчет (</w:t>
      </w:r>
      <w:r>
        <w:rPr>
          <w:rStyle w:val="Spanlink"/>
          <w:u w:val="single"/>
        </w:rPr>
        <w:t>п. 6.3 Указания № 3210-У</w:t>
      </w:r>
      <w:r>
        <w:t xml:space="preserve">). При этом любой работник обязан отчитаться главбуху. </w:t>
      </w:r>
    </w:p>
    <w:p w:rsidR="00605715" w:rsidRDefault="00605715" w:rsidP="00605715">
      <w:pPr>
        <w:pStyle w:val="2"/>
        <w:spacing w:after="280"/>
      </w:pPr>
      <w:r>
        <w:t>Миф № 5. Деньги на карту перечисляют по учетной политике</w:t>
      </w:r>
    </w:p>
    <w:p w:rsidR="00605715" w:rsidRDefault="00605715" w:rsidP="00605715">
      <w:pPr>
        <w:spacing w:after="280" w:afterAutospacing="1"/>
      </w:pPr>
      <w:r>
        <w:t>Расчет с подотчетными работниками — это не способ ведения бухучета (</w:t>
      </w:r>
      <w:r>
        <w:rPr>
          <w:rStyle w:val="Spanlink"/>
          <w:u w:val="single"/>
        </w:rPr>
        <w:t>ч. 1 ст. 8 Федерального закона от 06.12.2011 № 402-ФЗ</w:t>
      </w:r>
      <w:r>
        <w:t>). Поэтому в учетной политике не надо записывать, что перечислите деньги на банковскую карту. При этом Минфин рекомендовал это делать компаниям на упрощенке в </w:t>
      </w:r>
      <w:r>
        <w:rPr>
          <w:rStyle w:val="Spanlink"/>
          <w:u w:val="single"/>
        </w:rPr>
        <w:t>письме от 25.08.2014 № 03-11-11/42288</w:t>
      </w:r>
      <w:r>
        <w:t xml:space="preserve">. </w:t>
      </w:r>
    </w:p>
    <w:p w:rsidR="00605715" w:rsidRPr="002C6984" w:rsidRDefault="00605715" w:rsidP="002C6984">
      <w:pPr>
        <w:spacing w:after="0"/>
        <w:ind w:left="360"/>
        <w:jc w:val="right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</w:p>
    <w:sectPr w:rsidR="00605715" w:rsidRPr="002C6984" w:rsidSect="00C85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BookC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81295"/>
    <w:multiLevelType w:val="multilevel"/>
    <w:tmpl w:val="1B34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7160D"/>
    <w:multiLevelType w:val="multilevel"/>
    <w:tmpl w:val="62CC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4208D"/>
    <w:multiLevelType w:val="multilevel"/>
    <w:tmpl w:val="EFB6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2A1"/>
    <w:rsid w:val="000042D8"/>
    <w:rsid w:val="0017358A"/>
    <w:rsid w:val="00183943"/>
    <w:rsid w:val="0026072C"/>
    <w:rsid w:val="002C6984"/>
    <w:rsid w:val="002D77ED"/>
    <w:rsid w:val="00343CAA"/>
    <w:rsid w:val="00351D1C"/>
    <w:rsid w:val="00390238"/>
    <w:rsid w:val="00510A00"/>
    <w:rsid w:val="00594D6F"/>
    <w:rsid w:val="00605715"/>
    <w:rsid w:val="00635F76"/>
    <w:rsid w:val="00705A94"/>
    <w:rsid w:val="00743648"/>
    <w:rsid w:val="00786FE7"/>
    <w:rsid w:val="007D0437"/>
    <w:rsid w:val="007E0478"/>
    <w:rsid w:val="00803691"/>
    <w:rsid w:val="00873463"/>
    <w:rsid w:val="009F0FA8"/>
    <w:rsid w:val="00AC0CF0"/>
    <w:rsid w:val="00AC1717"/>
    <w:rsid w:val="00AC1DA0"/>
    <w:rsid w:val="00B732A1"/>
    <w:rsid w:val="00C37CD2"/>
    <w:rsid w:val="00C57262"/>
    <w:rsid w:val="00C85B87"/>
    <w:rsid w:val="00D10617"/>
    <w:rsid w:val="00E2572D"/>
    <w:rsid w:val="00F1528E"/>
    <w:rsid w:val="00F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0E55"/>
  <w15:docId w15:val="{D466E45F-DE29-4470-AC65-4587755C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3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32A1"/>
    <w:rPr>
      <w:color w:val="0000FF"/>
      <w:u w:val="single"/>
    </w:rPr>
  </w:style>
  <w:style w:type="character" w:styleId="a5">
    <w:name w:val="Emphasis"/>
    <w:basedOn w:val="a0"/>
    <w:uiPriority w:val="20"/>
    <w:qFormat/>
    <w:rsid w:val="00B732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2A1"/>
    <w:rPr>
      <w:rFonts w:ascii="Tahoma" w:hAnsi="Tahoma" w:cs="Tahoma"/>
      <w:sz w:val="16"/>
      <w:szCs w:val="16"/>
    </w:rPr>
  </w:style>
  <w:style w:type="paragraph" w:customStyle="1" w:styleId="000">
    <w:name w:val="000_таблица_заг"/>
    <w:basedOn w:val="a"/>
    <w:next w:val="a"/>
    <w:uiPriority w:val="68"/>
    <w:rsid w:val="00B732A1"/>
    <w:pPr>
      <w:autoSpaceDE w:val="0"/>
      <w:autoSpaceDN w:val="0"/>
      <w:adjustRightInd w:val="0"/>
      <w:spacing w:after="80" w:line="240" w:lineRule="atLeast"/>
    </w:pPr>
    <w:rPr>
      <w:rFonts w:ascii="Arial" w:eastAsia="Times New Roman" w:hAnsi="Arial" w:cs="FranklinGothicBookC"/>
      <w:color w:val="000000"/>
      <w:sz w:val="28"/>
      <w:szCs w:val="24"/>
    </w:rPr>
  </w:style>
  <w:style w:type="table" w:styleId="-2">
    <w:name w:val="Light Shading Accent 2"/>
    <w:basedOn w:val="a1"/>
    <w:uiPriority w:val="60"/>
    <w:rsid w:val="00B732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0042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center">
    <w:name w:val="pcenter"/>
    <w:basedOn w:val="a"/>
    <w:rsid w:val="00C3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C3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3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78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0">
    <w:name w:val="Light Grid Accent 2"/>
    <w:basedOn w:val="a1"/>
    <w:uiPriority w:val="62"/>
    <w:rsid w:val="0018394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8">
    <w:name w:val="Strong"/>
    <w:basedOn w:val="a0"/>
    <w:uiPriority w:val="22"/>
    <w:qFormat/>
    <w:rsid w:val="00AC1DA0"/>
    <w:rPr>
      <w:b/>
      <w:bCs/>
    </w:rPr>
  </w:style>
  <w:style w:type="paragraph" w:customStyle="1" w:styleId="align-center">
    <w:name w:val="align-center"/>
    <w:basedOn w:val="a"/>
    <w:rsid w:val="0017358A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358A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17358A"/>
  </w:style>
  <w:style w:type="character" w:customStyle="1" w:styleId="Spanlink">
    <w:name w:val="Span_link"/>
    <w:basedOn w:val="a0"/>
    <w:rsid w:val="00605715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Миф № 1. Подотчетным может быть только сотрудник</vt:lpstr>
      <vt:lpstr>    Миф № 2. Надо издавать приказ о подотчетниках</vt:lpstr>
      <vt:lpstr>    Миф № 3. Нельзя выдавать большие суммы </vt:lpstr>
      <vt:lpstr>    Миф № 4. Средства можно выдавать на определенный срок</vt:lpstr>
      <vt:lpstr>    Миф № 5. Деньги на карту перечисляют по учетной политике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Екатерина Юрьевна</dc:creator>
  <cp:lastModifiedBy>Zheka Nasekin</cp:lastModifiedBy>
  <cp:revision>4</cp:revision>
  <cp:lastPrinted>2019-03-15T11:57:00Z</cp:lastPrinted>
  <dcterms:created xsi:type="dcterms:W3CDTF">2019-05-24T13:44:00Z</dcterms:created>
  <dcterms:modified xsi:type="dcterms:W3CDTF">2020-08-12T09:51:00Z</dcterms:modified>
</cp:coreProperties>
</file>